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000000" w:space="1" w:sz="4" w:val="single"/>
          <w:left w:color="000000" w:space="3" w:sz="4" w:val="single"/>
          <w:bottom w:color="000000" w:space="5" w:sz="4" w:val="single"/>
          <w:right w:color="000000" w:space="4" w:sz="4" w:val="single"/>
        </w:pBdr>
        <w:contextualSpacing w:val="0"/>
        <w:rPr>
          <w:b w:val="0"/>
          <w:sz w:val="27"/>
          <w:szCs w:val="27"/>
          <w:vertAlign w:val="baseline"/>
        </w:rPr>
      </w:pPr>
      <w:r w:rsidDel="00000000" w:rsidR="00000000" w:rsidRPr="00000000">
        <w:rPr>
          <w:b w:val="1"/>
          <w:sz w:val="27"/>
          <w:szCs w:val="27"/>
          <w:vertAlign w:val="baseline"/>
          <w:rtl w:val="0"/>
        </w:rPr>
        <w:t xml:space="preserve">Infraestructuras, Urbanismo y Vivienda</w:t>
      </w:r>
      <w:r w:rsidDel="00000000" w:rsidR="00000000" w:rsidRPr="00000000">
        <w:rPr>
          <w:rtl w:val="0"/>
        </w:rPr>
      </w:r>
    </w:p>
    <w:p w:rsidR="00000000" w:rsidDel="00000000" w:rsidP="00000000" w:rsidRDefault="00000000" w:rsidRPr="00000000">
      <w:pPr>
        <w:ind w:firstLine="708"/>
        <w:contextualSpacing w:val="0"/>
        <w:rPr>
          <w:b w:val="0"/>
          <w:sz w:val="32"/>
          <w:szCs w:val="32"/>
          <w:vertAlign w:val="baseline"/>
        </w:rPr>
      </w:pPr>
      <w:r w:rsidDel="00000000" w:rsidR="00000000" w:rsidRPr="00000000">
        <w:rPr>
          <w:rtl w:val="0"/>
        </w:rPr>
      </w:r>
    </w:p>
    <w:p w:rsidR="00000000" w:rsidDel="00000000" w:rsidP="00000000" w:rsidRDefault="00000000" w:rsidRPr="00000000">
      <w:pPr>
        <w:pBdr>
          <w:top w:color="000000" w:space="0" w:sz="4" w:val="single"/>
          <w:left w:color="000000" w:space="24" w:sz="4" w:val="single"/>
          <w:bottom w:color="000000" w:space="1" w:sz="4" w:val="single"/>
          <w:right w:color="000000" w:space="4" w:sz="4" w:val="single"/>
        </w:pBdr>
        <w:ind w:left="426" w:firstLine="0"/>
        <w:contextualSpacing w:val="0"/>
        <w:jc w:val="center"/>
        <w:rPr>
          <w:b w:val="0"/>
          <w:sz w:val="32"/>
          <w:szCs w:val="32"/>
          <w:vertAlign w:val="baseline"/>
        </w:rPr>
      </w:pPr>
      <w:r w:rsidDel="00000000" w:rsidR="00000000" w:rsidRPr="00000000">
        <w:rPr>
          <w:b w:val="1"/>
          <w:sz w:val="32"/>
          <w:szCs w:val="32"/>
          <w:vertAlign w:val="baseline"/>
          <w:rtl w:val="0"/>
        </w:rPr>
        <w:t xml:space="preserve">APROBADAS DEFINITAMENTE LAS NUEVAS ORDENANZAS MUNICIPALES DE FACHADAS Y ASCENSORES</w:t>
      </w:r>
      <w:r w:rsidDel="00000000" w:rsidR="00000000" w:rsidRPr="00000000">
        <w:rPr>
          <w:rtl w:val="0"/>
        </w:rPr>
      </w:r>
    </w:p>
    <w:p w:rsidR="00000000" w:rsidDel="00000000" w:rsidP="00000000" w:rsidRDefault="00000000" w:rsidRPr="00000000">
      <w:pPr>
        <w:contextualSpacing w:val="0"/>
        <w:rPr>
          <w:sz w:val="27"/>
          <w:szCs w:val="27"/>
          <w:vertAlign w:val="baseline"/>
        </w:rPr>
      </w:pPr>
      <w:r w:rsidDel="00000000" w:rsidR="00000000" w:rsidRPr="00000000">
        <w:rPr>
          <w:sz w:val="27"/>
          <w:szCs w:val="27"/>
          <w:vertAlign w:val="baseline"/>
          <w:rtl w:val="0"/>
        </w:rPr>
        <w:tab/>
      </w:r>
    </w:p>
    <w:p w:rsidR="00000000" w:rsidDel="00000000" w:rsidP="00000000" w:rsidRDefault="00000000" w:rsidRPr="00000000">
      <w:pPr>
        <w:numPr>
          <w:ilvl w:val="0"/>
          <w:numId w:val="1"/>
        </w:numPr>
        <w:pBdr>
          <w:top w:color="000000" w:space="1" w:sz="4" w:val="single"/>
          <w:left w:color="000000" w:space="4" w:sz="4" w:val="single"/>
          <w:bottom w:color="000000" w:space="1" w:sz="4" w:val="single"/>
          <w:right w:color="000000" w:space="4" w:sz="4" w:val="single"/>
        </w:pBdr>
        <w:ind w:left="284" w:hanging="284"/>
        <w:contextualSpacing w:val="0"/>
        <w:rPr>
          <w:b w:val="0"/>
          <w:sz w:val="27"/>
          <w:szCs w:val="27"/>
        </w:rPr>
      </w:pPr>
      <w:r w:rsidDel="00000000" w:rsidR="00000000" w:rsidRPr="00000000">
        <w:rPr>
          <w:b w:val="1"/>
          <w:sz w:val="27"/>
          <w:szCs w:val="27"/>
          <w:vertAlign w:val="baseline"/>
          <w:rtl w:val="0"/>
        </w:rPr>
        <w:t xml:space="preserve">En los próximos días se publicarán en el BOC y desde ese momento entrarán en vigor los cambios introducidos</w:t>
      </w:r>
      <w:r w:rsidDel="00000000" w:rsidR="00000000" w:rsidRPr="00000000">
        <w:rPr>
          <w:rtl w:val="0"/>
        </w:rPr>
      </w:r>
    </w:p>
    <w:p w:rsidR="00000000" w:rsidDel="00000000" w:rsidP="00000000" w:rsidRDefault="00000000" w:rsidRPr="00000000">
      <w:pPr>
        <w:numPr>
          <w:ilvl w:val="0"/>
          <w:numId w:val="1"/>
        </w:numPr>
        <w:pBdr>
          <w:top w:color="000000" w:space="1" w:sz="4" w:val="single"/>
          <w:left w:color="000000" w:space="4" w:sz="4" w:val="single"/>
          <w:bottom w:color="000000" w:space="1" w:sz="4" w:val="single"/>
          <w:right w:color="000000" w:space="4" w:sz="4" w:val="single"/>
        </w:pBdr>
        <w:ind w:left="284" w:hanging="284"/>
        <w:contextualSpacing w:val="0"/>
        <w:rPr>
          <w:b w:val="0"/>
          <w:sz w:val="27"/>
          <w:szCs w:val="27"/>
        </w:rPr>
      </w:pPr>
      <w:r w:rsidDel="00000000" w:rsidR="00000000" w:rsidRPr="00000000">
        <w:rPr>
          <w:b w:val="1"/>
          <w:sz w:val="27"/>
          <w:szCs w:val="27"/>
          <w:vertAlign w:val="baseline"/>
          <w:rtl w:val="0"/>
        </w:rPr>
        <w:t xml:space="preserve">Las ayudas de fachadas aumentan entre un 33 y un 50 %, según el tipo de trabajos necesarios, y las de ascensores se gradúan en función del número de plantas, incrementando también el límite máximo de ayuda</w:t>
      </w:r>
      <w:r w:rsidDel="00000000" w:rsidR="00000000" w:rsidRPr="00000000">
        <w:rPr>
          <w:rtl w:val="0"/>
        </w:rPr>
      </w:r>
    </w:p>
    <w:p w:rsidR="00000000" w:rsidDel="00000000" w:rsidP="00000000" w:rsidRDefault="00000000" w:rsidRPr="00000000">
      <w:pPr>
        <w:numPr>
          <w:ilvl w:val="0"/>
          <w:numId w:val="1"/>
        </w:numPr>
        <w:pBdr>
          <w:top w:color="000000" w:space="1" w:sz="4" w:val="single"/>
          <w:left w:color="000000" w:space="4" w:sz="4" w:val="single"/>
          <w:bottom w:color="000000" w:space="1" w:sz="4" w:val="single"/>
          <w:right w:color="000000" w:space="4" w:sz="4" w:val="single"/>
        </w:pBdr>
        <w:ind w:left="284" w:hanging="284"/>
        <w:contextualSpacing w:val="0"/>
        <w:rPr>
          <w:b w:val="0"/>
          <w:sz w:val="27"/>
          <w:szCs w:val="27"/>
        </w:rPr>
      </w:pPr>
      <w:r w:rsidDel="00000000" w:rsidR="00000000" w:rsidRPr="00000000">
        <w:rPr>
          <w:b w:val="1"/>
          <w:sz w:val="27"/>
          <w:szCs w:val="27"/>
          <w:vertAlign w:val="baseline"/>
          <w:rtl w:val="0"/>
        </w:rPr>
        <w:t xml:space="preserve">Ambas ayudas pasarán a ser compatibles con las de otras administraciones</w:t>
      </w:r>
      <w:r w:rsidDel="00000000" w:rsidR="00000000" w:rsidRPr="00000000">
        <w:rPr>
          <w:rtl w:val="0"/>
        </w:rPr>
      </w:r>
    </w:p>
    <w:p w:rsidR="00000000" w:rsidDel="00000000" w:rsidP="00000000" w:rsidRDefault="00000000" w:rsidRPr="00000000">
      <w:pPr>
        <w:contextualSpacing w:val="0"/>
        <w:rPr>
          <w:b w:val="0"/>
          <w:sz w:val="27"/>
          <w:szCs w:val="27"/>
          <w:u w:val="single"/>
          <w:vertAlign w:val="baseline"/>
        </w:rPr>
      </w:pPr>
      <w:r w:rsidDel="00000000" w:rsidR="00000000" w:rsidRPr="00000000">
        <w:rPr>
          <w:rtl w:val="0"/>
        </w:rPr>
      </w:r>
    </w:p>
    <w:p w:rsidR="00000000" w:rsidDel="00000000" w:rsidP="00000000" w:rsidRDefault="00000000" w:rsidRPr="00000000">
      <w:pPr>
        <w:contextualSpacing w:val="0"/>
        <w:rPr>
          <w:sz w:val="27"/>
          <w:szCs w:val="27"/>
          <w:vertAlign w:val="baseline"/>
        </w:rPr>
      </w:pPr>
      <w:r w:rsidDel="00000000" w:rsidR="00000000" w:rsidRPr="00000000">
        <w:rPr>
          <w:b w:val="1"/>
          <w:sz w:val="27"/>
          <w:szCs w:val="27"/>
          <w:u w:val="single"/>
          <w:vertAlign w:val="baseline"/>
          <w:rtl w:val="0"/>
        </w:rPr>
        <w:t xml:space="preserve">11, noviembre, 17.</w:t>
      </w:r>
      <w:r w:rsidDel="00000000" w:rsidR="00000000" w:rsidRPr="00000000">
        <w:rPr>
          <w:sz w:val="27"/>
          <w:szCs w:val="27"/>
          <w:vertAlign w:val="baseline"/>
          <w:rtl w:val="0"/>
        </w:rPr>
        <w:t xml:space="preserve">  Las nuevas ordenanzas municipales de ayudas para la rehabilitación de fachadas e instalación de ascensores entrarán en vigor próximamente, al haber quedado ya aprobadas de forma definitiva sin recibir alegaciones en el periodo de exposición pública.</w:t>
      </w:r>
    </w:p>
    <w:p w:rsidR="00000000" w:rsidDel="00000000" w:rsidP="00000000" w:rsidRDefault="00000000" w:rsidRPr="00000000">
      <w:pPr>
        <w:contextualSpacing w:val="0"/>
        <w:rPr>
          <w:sz w:val="27"/>
          <w:szCs w:val="27"/>
          <w:vertAlign w:val="baseline"/>
        </w:rPr>
      </w:pPr>
      <w:r w:rsidDel="00000000" w:rsidR="00000000" w:rsidRPr="00000000">
        <w:rPr>
          <w:sz w:val="27"/>
          <w:szCs w:val="27"/>
          <w:vertAlign w:val="baseline"/>
          <w:rtl w:val="0"/>
        </w:rPr>
        <w:tab/>
        <w:t xml:space="preserve">La Junta de Gobierno Local ha tomado esta semana conocimiento de este trámite y en los próximos días se publicarán en el Boletín Oficial de Cantabria (BOC) para su entrada en vigor.</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El concejal de Infraestructuras, Urbanismo y Vivienda, César Díaz, ha destacado que las nuevas ordenanzas, que incluyen algunas de las propuestas planteadas durante la tramitación por los grupos municipales, buscan aumentar las ayudas y agilizar y simplificar su tramitación.</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Con ellas se pretende “incentivar aún más” a las comunidades de propietarios para favorecer el adecuado mantenimiento y conservación de los edificios catalogados y para mejorar la accesibilidad en edificios preexistentes que carezcan de ascensor.</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La nueva ordenanza de ayudas para la rehabilitación de fachadas de edificios catalogados introduce como principal novedad el incremento del importe que se podrá conceder, tanto para las obras del grupo general (revocos, enfoscados, pintura, arreglo de balcones…) como para las del grupo especial (recuperación de elementos arquitectónicos y arreglos que requieran mayor especialización).</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Así, las ayudas para los trabajos del grupo general aumentan un 50 % (de 60 euros por metro cuadrado de fachada hasta ahora, a 90 euros en adelante) y las destinadas a trabajos especiales crecen un 33 % (de 90 a 120 euros por metro cuadrado).</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En cuanto al presupuesto mínimo de la obra para poder solicitar ayuda, se eleva a 6.000 euros, con el fin de actualizar este baremo, que se había quedado “obsoleto” con el paso de los años, según ha precisado Díaz, quien ha resaltado que en la totalidad de las ayudas concedidas desde 2007 el presupuesto supera esos 6.000 euros.</w:t>
      </w:r>
    </w:p>
    <w:p w:rsidR="00000000" w:rsidDel="00000000" w:rsidP="00000000" w:rsidRDefault="00000000" w:rsidRPr="00000000">
      <w:pPr>
        <w:ind w:firstLine="708"/>
        <w:contextualSpacing w:val="0"/>
        <w:rPr>
          <w:b w:val="0"/>
          <w:sz w:val="27"/>
          <w:szCs w:val="27"/>
          <w:u w:val="single"/>
          <w:vertAlign w:val="baseline"/>
        </w:rPr>
      </w:pPr>
      <w:r w:rsidDel="00000000" w:rsidR="00000000" w:rsidRPr="00000000">
        <w:rPr>
          <w:b w:val="1"/>
          <w:sz w:val="27"/>
          <w:szCs w:val="27"/>
          <w:u w:val="single"/>
          <w:vertAlign w:val="baseline"/>
          <w:rtl w:val="0"/>
        </w:rPr>
        <w:t xml:space="preserve">Cambios en las ayudas para ascensores</w:t>
      </w:r>
      <w:r w:rsidDel="00000000" w:rsidR="00000000" w:rsidRPr="00000000">
        <w:rPr>
          <w:rtl w:val="0"/>
        </w:rPr>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Por lo que respecta a las ayudas para la instalación de ascensores en edificios preexistentes, se aumenta el máximo de ayuda que se podrá conceder, llegando hasta el 20 por ciento (frente al 15 % máximo aplicado con la ordenanza anterior).</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Además, se modifica la forma de calcular la subvención, graduándola en función del número de plantas del edificio, y se introduce un nuevo tipo de ayuda para aquellos casos especiales que no encajan en las dos modalidades actuales (ascensor interior o exterior), en los que se tiene que optar por modificar la escalera y sacar parte de ésta al exterior.</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Según ha indicado el concejal de Infraestructuras, Urbanismo y Vivienda, hasta ahora la ordenanza contemplaba dos tipos de ayudas: para ascensores interiores, con una subvención máxima de 6.750 euros por obra; y para ascensores exteriores, con una ayuda de hasta 9.000 euros.</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En la nueva regulación se introduce un tercer tipo de ayuda y se otorgarán en todos los casos en función del número de plantas, de tal manera que se concederán 2.250 euros por planta para ascensores interiores; 3.000 euros por planta para los exteriores; y 3.750 euros por planta para los casos especiales.</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Teniendo en cuenta que desde que existe esta ordenanza todas las ayudas concedidas son para ascensores de al menos cuatro plantas, esto significa que, en la práctica, la ayuda mínima también aumenta con el cambio, ya que un edificio de cuatro plantas podrá recibir una ayuda de hasta 9.000 euros para instalar un ascensor interior (hasta ahora el máximo era de 6.750 euros independientemente del número de plantas) y hasta 12.000 euros si es exterior (frente a 9.000 euros antes de la modificación de la ordenanza).</w:t>
      </w:r>
    </w:p>
    <w:p w:rsidR="00000000" w:rsidDel="00000000" w:rsidP="00000000" w:rsidRDefault="00000000" w:rsidRPr="00000000">
      <w:pPr>
        <w:ind w:firstLine="708"/>
        <w:contextualSpacing w:val="0"/>
        <w:rPr>
          <w:b w:val="0"/>
          <w:sz w:val="27"/>
          <w:szCs w:val="27"/>
          <w:u w:val="single"/>
          <w:vertAlign w:val="baseline"/>
        </w:rPr>
      </w:pPr>
      <w:r w:rsidDel="00000000" w:rsidR="00000000" w:rsidRPr="00000000">
        <w:rPr>
          <w:b w:val="1"/>
          <w:sz w:val="27"/>
          <w:szCs w:val="27"/>
          <w:u w:val="single"/>
          <w:vertAlign w:val="baseline"/>
          <w:rtl w:val="0"/>
        </w:rPr>
        <w:t xml:space="preserve">Supresión de incompatibilidad con otras ayudas</w:t>
      </w:r>
      <w:r w:rsidDel="00000000" w:rsidR="00000000" w:rsidRPr="00000000">
        <w:rPr>
          <w:rtl w:val="0"/>
        </w:rPr>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Además, tanto en las ayudas para la rehabilitación de fachadas como en las destinadas a la instalación de ascensores se suprime la incompatibilidad de estas ayudas municipales con las de otras administraciones.</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Asimismo, con la modificación de las ordenanzas en ambos casos se incluye entre la documentación que deberán presentar los solicitantes el informe de evaluación del edificio que exige la normativa autonómica para todos los inmuebles de más de 50 años de antigüedad.</w:t>
      </w:r>
    </w:p>
    <w:p w:rsidR="00000000" w:rsidDel="00000000" w:rsidP="00000000" w:rsidRDefault="00000000" w:rsidRPr="00000000">
      <w:pPr>
        <w:ind w:firstLine="708"/>
        <w:contextualSpacing w:val="0"/>
        <w:rPr>
          <w:sz w:val="27"/>
          <w:szCs w:val="27"/>
          <w:vertAlign w:val="baseline"/>
        </w:rPr>
      </w:pPr>
      <w:r w:rsidDel="00000000" w:rsidR="00000000" w:rsidRPr="00000000">
        <w:rPr>
          <w:sz w:val="27"/>
          <w:szCs w:val="27"/>
          <w:vertAlign w:val="baseline"/>
          <w:rtl w:val="0"/>
        </w:rPr>
        <w:t xml:space="preserve">Díaz ha señalado que el objetivo de todos estos cambios es mejorar unas ayudas que han dado buenos resultados a lo largo de los años, tanto para la mejora de la accesibilidad de los inmuebles, como para contribuir a la conservación del patrimonio arquitectónico y a la movilización de inversión privada, ya que por cada euro de ayuda concedido se ha inducido una inversión de casi 9 euros en la ciudad.</w:t>
      </w:r>
    </w:p>
    <w:p w:rsidR="00000000" w:rsidDel="00000000" w:rsidP="00000000" w:rsidRDefault="00000000" w:rsidRPr="00000000">
      <w:pPr>
        <w:ind w:firstLine="708"/>
        <w:contextualSpacing w:val="0"/>
        <w:rPr>
          <w:sz w:val="27"/>
          <w:szCs w:val="27"/>
          <w:vertAlign w:val="baseline"/>
        </w:rPr>
      </w:pPr>
      <w:r w:rsidDel="00000000" w:rsidR="00000000" w:rsidRPr="00000000">
        <w:rPr>
          <w:rtl w:val="0"/>
        </w:rPr>
      </w:r>
    </w:p>
    <w:p w:rsidR="00000000" w:rsidDel="00000000" w:rsidP="00000000" w:rsidRDefault="00000000" w:rsidRPr="00000000">
      <w:pPr>
        <w:ind w:firstLine="708"/>
        <w:contextualSpacing w:val="0"/>
        <w:rPr>
          <w:b w:val="0"/>
          <w:vertAlign w:val="baseline"/>
        </w:rPr>
      </w:pPr>
      <w:bookmarkStart w:colFirst="0" w:colLast="0" w:name="_gjdgxs" w:id="0"/>
      <w:bookmarkEnd w:id="0"/>
      <w:r w:rsidDel="00000000" w:rsidR="00000000" w:rsidRPr="00000000">
        <w:rPr>
          <w:b w:val="1"/>
          <w:sz w:val="27"/>
          <w:szCs w:val="27"/>
          <w:vertAlign w:val="baseline"/>
          <w:rtl w:val="0"/>
        </w:rPr>
        <w:t xml:space="preserve">Nota: se envía corte de voz</w:t>
      </w:r>
      <w:r w:rsidDel="00000000" w:rsidR="00000000" w:rsidRPr="00000000">
        <w:rPr>
          <w:rtl w:val="0"/>
        </w:rPr>
      </w:r>
    </w:p>
    <w:sectPr>
      <w:headerReference r:id="rId7" w:type="default"/>
      <w:footerReference r:id="rId8" w:type="default"/>
      <w:pgSz w:h="16840" w:w="11907"/>
      <w:pgMar w:bottom="567" w:top="2835" w:left="1701" w:right="1418" w:header="39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hd w:fill="f2f2f2" w:val="clear"/>
      <w:ind w:left="-1134" w:right="-851" w:firstLine="0"/>
      <w:contextualSpacing w:val="0"/>
      <w:jc w:val="center"/>
      <w:rPr>
        <w:sz w:val="20"/>
        <w:szCs w:val="20"/>
        <w:vertAlign w:val="baseline"/>
      </w:rPr>
    </w:pPr>
    <w:r w:rsidDel="00000000" w:rsidR="00000000" w:rsidRPr="00000000">
      <w:rPr>
        <w:b w:val="1"/>
        <w:sz w:val="20"/>
        <w:szCs w:val="20"/>
        <w:vertAlign w:val="baseline"/>
        <w:rtl w:val="0"/>
      </w:rPr>
      <w:t xml:space="preserve">Excmo. Ayuntamiento de Santander</w:t>
    </w:r>
    <w:r w:rsidDel="00000000" w:rsidR="00000000" w:rsidRPr="00000000">
      <w:rPr>
        <w:sz w:val="20"/>
        <w:szCs w:val="20"/>
        <w:vertAlign w:val="baseline"/>
        <w:rtl w:val="0"/>
      </w:rPr>
      <w:t xml:space="preserve"> - Plaza del Ayuntamiento, s/n - 39002 - Santander - Cantabria. Teléfono: 942 200 722. Fax: 942 200 723. Correo electrónico: prensa-pp@ayto-santander.es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214"/>
      </w:tabs>
      <w:ind w:left="-567" w:right="-709" w:firstLine="0"/>
      <w:contextualSpacing w:val="0"/>
      <w:rPr>
        <w:vertAlign w:val="baseline"/>
      </w:rPr>
    </w:pPr>
    <w:r w:rsidDel="00000000" w:rsidR="00000000" w:rsidRPr="00000000">
      <w:rPr>
        <w:rtl w:val="0"/>
      </w:rPr>
    </w:r>
  </w:p>
  <w:p w:rsidR="00000000" w:rsidDel="00000000" w:rsidP="00000000" w:rsidRDefault="00000000" w:rsidRPr="00000000">
    <w:pPr>
      <w:tabs>
        <w:tab w:val="right" w:pos="9214"/>
      </w:tabs>
      <w:spacing w:line="480" w:lineRule="auto"/>
      <w:ind w:left="-567" w:right="-709" w:firstLine="0"/>
      <w:contextualSpacing w:val="0"/>
      <w:rPr>
        <w:vertAlign w:val="baseline"/>
      </w:rPr>
    </w:pPr>
    <w:r w:rsidDel="00000000" w:rsidR="00000000" w:rsidRPr="00000000">
      <w:rPr>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0</wp:posOffset>
              </wp:positionH>
              <wp:positionV relativeFrom="paragraph">
                <wp:posOffset>32385</wp:posOffset>
              </wp:positionV>
              <wp:extent cx="1638300" cy="1393825"/>
              <wp:wrapNone/>
              <wp:docPr id="1026" name=""/>
              <a:graphic>
                <a:graphicData uri="http://schemas.microsoft.com/office/word/2010/wordprocessingShape">
                  <wps:wsp>
                    <wps:cNvSpPr txBox="1"/>
                    <wps:spPr>
                      <a:xfrm>
                        <a:off x="0" y="0"/>
                        <a:ext cx="1638300" cy="1393825"/>
                      </a:xfrm>
                      <a:prstGeom prst="rect"/>
                      <a:no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effect w:val="none"/>
                              <w:vertAlign w:val="baseline"/>
                              <w:cs w:val="0"/>
                              <w:em w:val="none"/>
                              <w:lang/>
                            </w:rPr>
                          </w:pPr>
                          <w:r w:rsidDel="000000-1" w:rsidR="07024296" w:rsidRPr="000000-1">
                            <w:rPr>
                              <w:w w:val="100"/>
                              <w:position w:val="-1"/>
                              <w:effect w:val="none"/>
                              <w:vertAlign w:val="baseline"/>
                              <w:cs w:val="0"/>
                              <w:em w:val="none"/>
                              <w:lang/>
                              <w:specVanish w:val="1"/>
                            </w:rPr>
                            <w:drawing>
                              <wp:inline distB="0" distT="0" distL="114300" distR="114300">
                                <wp:extent cx="744220" cy="1060450"/>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744220" cy="1060450"/>
                                        </a:xfrm>
                                        <a:prstGeom prst="rect">
                                          <a:avLst/>
                                        </a:prstGeom>
                                        <a:ln cap="rnd" cmpd="sng" w="9525" algn="ctr">
                                          <a:noFill/>
                                          <a:miter lim="800000"/>
                                          <a:headEnd/>
                                          <a:tailEnd/>
                                        </a:ln>
                                      </pic:spPr>
                                    </pic:pic>
                                  </a:graphicData>
                                </a:graphic>
                              </wp:inline>
                            </w:drawing>
                          </w:r>
                          <w:r w:rsidDel="000000-1" w:rsidR="07024296"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 w:val="18"/>
                              <w:effect w:val="none"/>
                              <w:vertAlign w:val="baseline"/>
                              <w:cs w:val="0"/>
                              <w:em w:val="none"/>
                              <w:lang/>
                            </w:rPr>
                          </w:pPr>
                          <w:r w:rsidDel="000000-1" w:rsidR="07024296" w:rsidRPr="000000-1">
                            <w:rPr>
                              <w:w w:val="100"/>
                              <w:position w:val="-1"/>
                              <w:sz w:val="18"/>
                              <w:effect w:val="none"/>
                              <w:vertAlign w:val="baseline"/>
                              <w:cs w:val="0"/>
                              <w:em w:val="none"/>
                              <w:lang/>
                            </w:rPr>
                            <w:t>Ayuntamiento de Santander</w:t>
                          </w:r>
                        </w:p>
                        <w:p w:rsidR="00000000" w:rsidDel="00000000" w:rsidP="00000000" w:rsidRDefault="00000000" w:rsidRPr="00000000">
                          <w:pPr>
                            <w:pStyle w:val="Título5"/>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24296" w:rsidRPr="000000-1">
                            <w:rPr>
                              <w:b w:val="1"/>
                              <w:i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effect w:val="none"/>
                              <w:vertAlign w:val="baseline"/>
                              <w:cs w:val="0"/>
                              <w:em w:val="none"/>
                              <w:lang/>
                            </w:rPr>
                          </w:pPr>
                          <w:r w:rsidDel="000000-1" w:rsidR="07024296"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2429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32385</wp:posOffset>
              </wp:positionV>
              <wp:extent cx="1638300" cy="1393825"/>
              <wp:effectExtent b="0" l="0" r="0" t="0"/>
              <wp:wrapNone/>
              <wp:docPr id="102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38300" cy="1393825"/>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pBdr>
        <w:bottom w:color="808080" w:space="1" w:sz="6" w:val="double"/>
      </w:pBdr>
      <w:tabs>
        <w:tab w:val="right" w:leader="none" w:pos="8788"/>
      </w:tabs>
      <w:suppressAutoHyphens w:val="1"/>
      <w:spacing w:before="360" w:line="1" w:lineRule="atLeast"/>
      <w:ind w:leftChars="-1" w:rightChars="0" w:firstLineChars="-1"/>
      <w:jc w:val="both"/>
      <w:textDirection w:val="btLr"/>
      <w:textAlignment w:val="top"/>
      <w:outlineLvl w:val="0"/>
    </w:pPr>
    <w:rPr>
      <w:b w:val="1"/>
      <w:w w:val="100"/>
      <w:kern w:val="28"/>
      <w:position w:val="-1"/>
      <w:sz w:val="24"/>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pBdr>
        <w:top w:color="c0c0c0" w:shadow="1" w:space="1" w:sz="6" w:val="single"/>
        <w:left w:color="c0c0c0" w:shadow="1" w:space="1" w:sz="6" w:val="single"/>
        <w:bottom w:color="c0c0c0" w:shadow="1" w:space="1" w:sz="6" w:val="single"/>
        <w:right w:color="c0c0c0" w:shadow="1" w:space="1" w:sz="6" w:val="single"/>
      </w:pBdr>
      <w:shd w:color="c0c0c0" w:fill="auto" w:val="pct10"/>
      <w:suppressAutoHyphens w:val="1"/>
      <w:spacing w:line="1" w:lineRule="atLeast"/>
      <w:ind w:leftChars="-1" w:rightChars="0" w:firstLineChars="-1"/>
      <w:jc w:val="center"/>
      <w:textDirection w:val="btLr"/>
      <w:textAlignment w:val="top"/>
      <w:outlineLvl w:val="0"/>
    </w:pPr>
    <w:rPr>
      <w:b w:val="1"/>
      <w:i w:val="1"/>
      <w:color w:val="800000"/>
      <w:w w:val="100"/>
      <w:position w:val="-1"/>
      <w:sz w:val="36"/>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pBdr>
        <w:top w:color="c0c0c0" w:shadow="1" w:space="1" w:sz="18" w:val="single"/>
        <w:left w:color="c0c0c0" w:shadow="1" w:space="1" w:sz="18" w:val="single"/>
        <w:bottom w:color="c0c0c0" w:shadow="1" w:space="1" w:sz="18" w:val="single"/>
        <w:right w:color="c0c0c0" w:shadow="1" w:space="1" w:sz="18" w:val="single"/>
      </w:pBdr>
      <w:shd w:color="c0c0c0" w:fill="auto" w:val="pct5"/>
      <w:tabs>
        <w:tab w:val="center" w:leader="none" w:pos="4253"/>
        <w:tab w:val="right" w:leader="none" w:pos="8788"/>
      </w:tabs>
      <w:suppressAutoHyphens w:val="1"/>
      <w:spacing w:before="120" w:line="1" w:lineRule="atLeast"/>
      <w:ind w:leftChars="-1" w:rightChars="0" w:firstLineChars="-1"/>
      <w:jc w:val="both"/>
      <w:textDirection w:val="btLr"/>
      <w:textAlignment w:val="top"/>
      <w:outlineLvl w:val="0"/>
    </w:pPr>
    <w:rPr>
      <w:b w:val="1"/>
      <w:w w:val="100"/>
      <w:position w:val="-1"/>
      <w:sz w:val="24"/>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pBdr>
        <w:top w:color="c0c0c0" w:shadow="1" w:space="1" w:sz="6" w:val="single"/>
        <w:left w:color="c0c0c0" w:shadow="1" w:space="1" w:sz="6" w:val="single"/>
        <w:bottom w:color="c0c0c0" w:shadow="1" w:space="1" w:sz="6" w:val="single"/>
        <w:right w:color="c0c0c0" w:shadow="1" w:space="1" w:sz="6" w:val="single"/>
      </w:pBdr>
      <w:shd w:color="008080" w:fill="auto" w:val="solid"/>
      <w:tabs>
        <w:tab w:val="center" w:leader="none" w:pos="4253"/>
        <w:tab w:val="right" w:leader="none" w:pos="8788"/>
      </w:tabs>
      <w:suppressAutoHyphens w:val="1"/>
      <w:spacing w:before="120" w:line="1" w:lineRule="atLeast"/>
      <w:ind w:leftChars="-1" w:rightChars="0" w:firstLineChars="-1"/>
      <w:jc w:val="center"/>
      <w:textDirection w:val="btLr"/>
      <w:textAlignment w:val="top"/>
      <w:outlineLvl w:val="0"/>
    </w:pPr>
    <w:rPr>
      <w:b w:val="1"/>
      <w:color w:val="ffffff"/>
      <w:w w:val="100"/>
      <w:position w:val="-1"/>
      <w:sz w:val="24"/>
      <w:effect w:val="none"/>
      <w:vertAlign w:val="baseline"/>
      <w:cs w:val="0"/>
      <w:em w:val="none"/>
      <w:lang w:bidi="ar-SA" w:eastAsia="es-ES" w:val="es-ES"/>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b w:val="1"/>
      <w:i w:val="1"/>
      <w:w w:val="100"/>
      <w:position w:val="-1"/>
      <w:sz w:val="24"/>
      <w:effect w:val="none"/>
      <w:vertAlign w:val="baseline"/>
      <w:cs w:val="0"/>
      <w:em w:val="none"/>
      <w:lang w:bidi="ar-SA" w:eastAsia="es-ES" w:val="es-ES"/>
    </w:rPr>
  </w:style>
  <w:style w:type="paragraph" w:styleId="Título6">
    <w:name w:val="Título 6"/>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5"/>
    </w:pPr>
    <w:rPr>
      <w:w w:val="100"/>
      <w:position w:val="-1"/>
      <w:sz w:val="28"/>
      <w:u w:val="single"/>
      <w:effect w:val="none"/>
      <w:vertAlign w:val="baseline"/>
      <w:cs w:val="0"/>
      <w:em w:val="none"/>
      <w:lang w:bidi="ar-SA" w:eastAsia="es-ES" w:val="es-ES"/>
    </w:rPr>
  </w:style>
  <w:style w:type="paragraph" w:styleId="Título7">
    <w:name w:val="Título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b w:val="1"/>
      <w:bCs w:val="1"/>
      <w:w w:val="100"/>
      <w:position w:val="-1"/>
      <w:sz w:val="28"/>
      <w:effect w:val="none"/>
      <w:vertAlign w:val="baseline"/>
      <w:cs w:val="0"/>
      <w:em w:val="none"/>
      <w:lang w:bidi="ar-SA" w:eastAsia="es-ES" w:val="es-ES"/>
    </w:rPr>
  </w:style>
  <w:style w:type="paragraph" w:styleId="Título8">
    <w:name w:val="Título 8"/>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both"/>
      <w:textDirection w:val="btLr"/>
      <w:textAlignment w:val="top"/>
      <w:outlineLvl w:val="7"/>
    </w:pPr>
    <w:rPr>
      <w:b w:val="1"/>
      <w:bCs w:val="1"/>
      <w:w w:val="100"/>
      <w:position w:val="-1"/>
      <w:sz w:val="28"/>
      <w:effect w:val="none"/>
      <w:vertAlign w:val="baseline"/>
      <w:cs w:val="0"/>
      <w:em w:val="none"/>
      <w:lang w:bidi="ar-SA" w:eastAsia="es-ES" w:val="es-ES"/>
    </w:rPr>
  </w:style>
  <w:style w:type="paragraph" w:styleId="Título9">
    <w:name w:val="Título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w w:val="100"/>
      <w:position w:val="-1"/>
      <w:sz w:val="28"/>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Precio1">
    <w:name w:val="Precio 1"/>
    <w:basedOn w:val="Normal"/>
    <w:next w:val="Precio1"/>
    <w:autoRedefine w:val="0"/>
    <w:hidden w:val="0"/>
    <w:qFormat w:val="0"/>
    <w:pPr>
      <w:shd w:color="c0c0c0" w:fill="auto" w:val="pct10"/>
      <w:tabs>
        <w:tab w:val="decimal" w:leader="dot" w:pos="8647"/>
      </w:tabs>
      <w:suppressAutoHyphens w:val="1"/>
      <w:spacing w:before="120" w:line="1" w:lineRule="atLeast"/>
      <w:ind w:left="426" w:leftChars="-1" w:rightChars="0" w:hanging="426" w:firstLineChars="-1"/>
      <w:jc w:val="both"/>
      <w:textDirection w:val="btLr"/>
      <w:textAlignment w:val="top"/>
      <w:outlineLvl w:val="0"/>
    </w:pPr>
    <w:rPr>
      <w:w w:val="100"/>
      <w:position w:val="-1"/>
      <w:sz w:val="24"/>
      <w:effect w:val="none"/>
      <w:vertAlign w:val="baseline"/>
      <w:cs w:val="0"/>
      <w:em w:val="none"/>
      <w:lang w:bidi="ar-SA" w:eastAsia="es-ES" w:val="es-ES"/>
    </w:rPr>
  </w:style>
  <w:style w:type="paragraph" w:styleId="Precio2">
    <w:name w:val="Precio 2"/>
    <w:basedOn w:val="Precio1"/>
    <w:next w:val="Precio2"/>
    <w:autoRedefine w:val="0"/>
    <w:hidden w:val="0"/>
    <w:qFormat w:val="0"/>
    <w:pPr>
      <w:shd w:color="c0c0c0" w:fill="auto" w:val="pct5"/>
      <w:tabs>
        <w:tab w:val="decimal" w:leader="dot" w:pos="8647"/>
      </w:tabs>
      <w:suppressAutoHyphens w:val="1"/>
      <w:spacing w:before="40" w:line="1" w:lineRule="atLeast"/>
      <w:ind w:left="425" w:leftChars="-1" w:rightChars="0" w:hanging="425" w:firstLineChars="-1"/>
      <w:jc w:val="both"/>
      <w:textDirection w:val="btLr"/>
      <w:textAlignment w:val="top"/>
      <w:outlineLvl w:val="0"/>
    </w:pPr>
    <w:rPr>
      <w:w w:val="100"/>
      <w:position w:val="-1"/>
      <w:sz w:val="24"/>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s-ES" w:val="es-ES"/>
    </w:rPr>
  </w:style>
  <w:style w:type="paragraph" w:styleId="Textoindependiente3">
    <w:name w:val="Texto independiente 3"/>
    <w:basedOn w:val="Normal"/>
    <w:next w:val="Textoindependiente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effect w:val="none"/>
      <w:vertAlign w:val="baseline"/>
      <w:cs w:val="0"/>
      <w:em w:val="none"/>
      <w:lang w:bidi="ar-SA" w:eastAsia="es-ES" w:val="es-ES"/>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Batang" w:eastAsia="Batang" w:hAnsi="Batang"/>
      <w:b w:val="1"/>
      <w:bCs w:val="1"/>
      <w:w w:val="100"/>
      <w:position w:val="-1"/>
      <w:sz w:val="24"/>
      <w:u w:val="single"/>
      <w:effect w:val="none"/>
      <w:vertAlign w:val="baseline"/>
      <w:cs w:val="0"/>
      <w:em w:val="none"/>
      <w:lang w:bidi="ar-SA" w:eastAsia="es-ES" w:val="es-ES"/>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Batang" w:eastAsia="Batang" w:hAnsi="Batang"/>
      <w:i w:val="1"/>
      <w:iCs w:val="1"/>
      <w:w w:val="100"/>
      <w:position w:val="-1"/>
      <w:sz w:val="24"/>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Sangríadetextonormal">
    <w:name w:val="Sangría de texto normal"/>
    <w:basedOn w:val="Normal"/>
    <w:next w:val="Sangríadetextonormal"/>
    <w:autoRedefine w:val="0"/>
    <w:hidden w:val="0"/>
    <w:qFormat w:val="0"/>
    <w:pPr>
      <w:suppressAutoHyphens w:val="1"/>
      <w:spacing w:line="1" w:lineRule="atLeast"/>
      <w:ind w:leftChars="-1" w:rightChars="0" w:firstLine="708" w:firstLineChars="-1"/>
      <w:jc w:val="both"/>
      <w:textDirection w:val="btLr"/>
      <w:textAlignment w:val="top"/>
      <w:outlineLvl w:val="0"/>
    </w:pPr>
    <w:rPr>
      <w:w w:val="100"/>
      <w:position w:val="-1"/>
      <w:sz w:val="28"/>
      <w:effect w:val="none"/>
      <w:vertAlign w:val="baseline"/>
      <w:cs w:val="0"/>
      <w:em w:val="none"/>
      <w:lang w:bidi="ar-SA" w:eastAsia="es-ES" w:val="es-ES"/>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b w:val="1"/>
      <w:bCs w:val="1"/>
      <w:w w:val="100"/>
      <w:position w:val="-1"/>
      <w:sz w:val="24"/>
      <w:szCs w:val="24"/>
      <w:u w:val="single"/>
      <w:effect w:val="none"/>
      <w:vertAlign w:val="baseline"/>
      <w:cs w:val="0"/>
      <w:em w:val="none"/>
      <w:lang w:bidi="ar-SA" w:eastAsia="es-ES" w:val="es-E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left"/>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s-ES" w:val="es-ES"/>
    </w:rPr>
  </w:style>
  <w:style w:type="paragraph" w:styleId="Sangría2det.independiente">
    <w:name w:val="Sangría 2 de t. independiente"/>
    <w:basedOn w:val="Normal"/>
    <w:next w:val="Sangría2det.independiente"/>
    <w:autoRedefine w:val="0"/>
    <w:hidden w:val="0"/>
    <w:qFormat w:val="0"/>
    <w:pPr>
      <w:suppressAutoHyphens w:val="1"/>
      <w:autoSpaceDE w:val="0"/>
      <w:autoSpaceDN w:val="0"/>
      <w:adjustRightInd w:val="0"/>
      <w:spacing w:line="1" w:lineRule="atLeast"/>
      <w:ind w:leftChars="-1" w:rightChars="0" w:firstLine="708" w:firstLineChars="-1"/>
      <w:jc w:val="both"/>
      <w:textDirection w:val="btLr"/>
      <w:textAlignment w:val="top"/>
      <w:outlineLvl w:val="0"/>
    </w:pPr>
    <w:rPr>
      <w:w w:val="100"/>
      <w:position w:val="-1"/>
      <w:sz w:val="24"/>
      <w:effect w:val="none"/>
      <w:vertAlign w:val="baseline"/>
      <w:cs w:val="0"/>
      <w:em w:val="none"/>
      <w:lang w:bidi="ar-SA" w:eastAsia="es-ES" w:val="es-E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western">
    <w:name w:val="western"/>
    <w:basedOn w:val="Normal"/>
    <w:next w:val="western"/>
    <w:autoRedefine w:val="0"/>
    <w:hidden w:val="0"/>
    <w:qFormat w:val="0"/>
    <w:pPr>
      <w:suppressAutoHyphens w:val="1"/>
      <w:spacing w:after="100" w:afterAutospacing="1" w:before="100" w:beforeAutospacing="1" w:line="1" w:lineRule="atLeast"/>
      <w:ind w:leftChars="-1" w:rightChars="0" w:firstLineChars="-1"/>
      <w:jc w:val="left"/>
      <w:textDirection w:val="btLr"/>
      <w:textAlignment w:val="top"/>
      <w:outlineLvl w:val="0"/>
    </w:pPr>
    <w:rPr>
      <w:w w:val="100"/>
      <w:position w:val="-1"/>
      <w:sz w:val="24"/>
      <w:szCs w:val="24"/>
      <w:effect w:val="none"/>
      <w:vertAlign w:val="baseline"/>
      <w:cs w:val="0"/>
      <w:em w:val="none"/>
      <w:lang w:bidi="ar-SA" w:eastAsia="es-ES" w:val="es-ES"/>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effect w:val="none"/>
      <w:vertAlign w:val="baseline"/>
      <w:cs w:val="0"/>
      <w:em w:val="none"/>
      <w:lang w:bidi="ar-SA" w:eastAsia="es-ES"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independienteCar">
    <w:name w:val="Texto independiente Car"/>
    <w:next w:val="TextoindependienteCar"/>
    <w:autoRedefine w:val="0"/>
    <w:hidden w:val="0"/>
    <w:qFormat w:val="0"/>
    <w:rPr>
      <w:b w:val="1"/>
      <w:bCs w:val="1"/>
      <w:w w:val="100"/>
      <w:position w:val="-1"/>
      <w:sz w:val="24"/>
      <w:szCs w:val="24"/>
      <w:u w:val="single"/>
      <w:effect w:val="none"/>
      <w:vertAlign w:val="baseline"/>
      <w:cs w:val="0"/>
      <w:em w:val="none"/>
      <w:lang w:eastAsia="es-ES" w:val="es-ES"/>
    </w:rPr>
  </w:style>
  <w:style w:type="character" w:styleId="Textoindependiente2Car">
    <w:name w:val="Texto independiente 2 Car"/>
    <w:next w:val="Textoindependiente2Car"/>
    <w:autoRedefine w:val="0"/>
    <w:hidden w:val="0"/>
    <w:qFormat w:val="0"/>
    <w:rPr>
      <w:rFonts w:ascii="Arial" w:hAnsi="Arial"/>
      <w:w w:val="100"/>
      <w:position w:val="-1"/>
      <w:sz w:val="24"/>
      <w:effect w:val="none"/>
      <w:vertAlign w:val="baseline"/>
      <w:cs w:val="0"/>
      <w:em w:val="none"/>
      <w:lang w:eastAsia="es-ES" w:val="es-ES"/>
    </w:rPr>
  </w:style>
  <w:style w:type="character" w:styleId="mdh2257">
    <w:name w:val="mdh2257"/>
    <w:next w:val="mdh2257"/>
    <w:autoRedefine w:val="0"/>
    <w:hidden w:val="0"/>
    <w:qFormat w:val="0"/>
    <w:rPr>
      <w:rFonts w:ascii="Arial" w:cs="Arial" w:hAnsi="Arial"/>
      <w:color w:val="auto"/>
      <w:w w:val="100"/>
      <w:position w:val="-1"/>
      <w:sz w:val="20"/>
      <w:szCs w:val="20"/>
      <w:effect w:val="none"/>
      <w:vertAlign w:val="baseline"/>
      <w:cs w:val="0"/>
      <w:em w:val="none"/>
      <w:lang/>
    </w:rPr>
  </w:style>
  <w:style w:type="paragraph" w:styleId="Listaconviñetas">
    <w:name w:val="Lista con viñetas"/>
    <w:basedOn w:val="Normal"/>
    <w:next w:val="Listaconviñetas"/>
    <w:autoRedefine w:val="0"/>
    <w:hidden w:val="0"/>
    <w:qFormat w:val="0"/>
    <w:pPr>
      <w:numPr>
        <w:ilvl w:val="0"/>
        <w:numId w:val="2"/>
      </w:numPr>
      <w:suppressAutoHyphens w:val="1"/>
      <w:spacing w:line="1" w:lineRule="atLeast"/>
      <w:ind w:leftChars="-1" w:rightChars="0" w:firstLineChars="-1"/>
      <w:contextualSpacing w:val="1"/>
      <w:jc w:val="both"/>
      <w:textDirection w:val="btLr"/>
      <w:textAlignment w:val="top"/>
      <w:outlineLvl w:val="0"/>
    </w:pPr>
    <w:rPr>
      <w:w w:val="100"/>
      <w:position w:val="-1"/>
      <w:sz w:val="24"/>
      <w:effect w:val="none"/>
      <w:vertAlign w:val="baseline"/>
      <w:cs w:val="0"/>
      <w:em w:val="none"/>
      <w:lang w:bidi="ar-SA" w:eastAsia="es-ES" w:val="es-ES"/>
    </w:rPr>
  </w:style>
  <w:style w:type="paragraph" w:styleId="Textosinformato">
    <w:name w:val="Texto sin formato"/>
    <w:basedOn w:val="Normal"/>
    <w:next w:val="Textosinformato"/>
    <w:autoRedefine w:val="0"/>
    <w:hidden w:val="0"/>
    <w:qFormat w:val="1"/>
    <w:pPr>
      <w:suppressAutoHyphens w:val="1"/>
      <w:spacing w:line="1" w:lineRule="atLeast"/>
      <w:ind w:leftChars="-1" w:rightChars="0" w:firstLineChars="-1"/>
      <w:jc w:val="left"/>
      <w:textDirection w:val="btLr"/>
      <w:textAlignment w:val="top"/>
      <w:outlineLvl w:val="0"/>
    </w:pPr>
    <w:rPr>
      <w:rFonts w:ascii="Calibri" w:eastAsia="Calibri" w:hAnsi="Calibri"/>
      <w:w w:val="100"/>
      <w:position w:val="-1"/>
      <w:sz w:val="22"/>
      <w:szCs w:val="21"/>
      <w:effect w:val="none"/>
      <w:vertAlign w:val="baseline"/>
      <w:cs w:val="0"/>
      <w:em w:val="none"/>
      <w:lang w:bidi="ar-SA" w:eastAsia="en-US" w:val="es-ES"/>
    </w:rPr>
  </w:style>
  <w:style w:type="character" w:styleId="TextosinformatoCar">
    <w:name w:val="Texto sin formato Car"/>
    <w:next w:val="TextosinformatoCar"/>
    <w:autoRedefine w:val="0"/>
    <w:hidden w:val="0"/>
    <w:qFormat w:val="0"/>
    <w:rPr>
      <w:rFonts w:ascii="Calibri" w:eastAsia="Calibri" w:hAnsi="Calibri"/>
      <w:w w:val="100"/>
      <w:position w:val="-1"/>
      <w:sz w:val="22"/>
      <w:szCs w:val="21"/>
      <w:effect w:val="none"/>
      <w:vertAlign w:val="baseline"/>
      <w:cs w:val="0"/>
      <w:em w:val="none"/>
      <w:lang w:eastAsia="en-US"/>
    </w:rPr>
  </w:style>
  <w:style w:type="paragraph" w:styleId="Textonotapie">
    <w:name w:val="Texto nota pie"/>
    <w:basedOn w:val="Normal"/>
    <w:next w:val="Textonotapie"/>
    <w:autoRedefine w:val="0"/>
    <w:hidden w:val="0"/>
    <w:qFormat w:val="1"/>
    <w:pPr>
      <w:suppressAutoHyphens w:val="1"/>
      <w:spacing w:line="1" w:lineRule="atLeast"/>
      <w:ind w:leftChars="-1" w:rightChars="0" w:firstLineChars="-1"/>
      <w:jc w:val="left"/>
      <w:textDirection w:val="btLr"/>
      <w:textAlignment w:val="top"/>
      <w:outlineLvl w:val="0"/>
    </w:pPr>
    <w:rPr>
      <w:rFonts w:ascii="Calibri" w:cs="Times New Roman" w:eastAsia="Calibri" w:hAnsi="Calibri"/>
      <w:w w:val="100"/>
      <w:position w:val="-1"/>
      <w:sz w:val="20"/>
      <w:effect w:val="none"/>
      <w:vertAlign w:val="baseline"/>
      <w:cs w:val="0"/>
      <w:em w:val="none"/>
      <w:lang w:bidi="ar-SA" w:eastAsia="en-US" w:val="es-ES"/>
    </w:rPr>
  </w:style>
  <w:style w:type="character" w:styleId="TextonotapieCar">
    <w:name w:val="Texto nota pie Car"/>
    <w:next w:val="TextonotapieCar"/>
    <w:autoRedefine w:val="0"/>
    <w:hidden w:val="0"/>
    <w:qFormat w:val="0"/>
    <w:rPr>
      <w:rFonts w:ascii="Calibri" w:eastAsia="Calibri" w:hAnsi="Calibri"/>
      <w:w w:val="100"/>
      <w:position w:val="-1"/>
      <w:effect w:val="none"/>
      <w:vertAlign w:val="baseline"/>
      <w:cs w:val="0"/>
      <w:em w:val="none"/>
      <w:lang w:eastAsia="en-US"/>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art-imagetext1">
    <w:name w:val="art-imagetext1"/>
    <w:next w:val="art-imagetext1"/>
    <w:autoRedefine w:val="0"/>
    <w:hidden w:val="0"/>
    <w:qFormat w:val="0"/>
    <w:rPr>
      <w:b w:val="1"/>
      <w:bCs w:val="1"/>
      <w:w w:val="100"/>
      <w:position w:val="-1"/>
      <w:effect w:val="none"/>
      <w:vertAlign w:val="baseline"/>
      <w:cs w:val="0"/>
      <w:em w:val="none"/>
      <w:lang/>
    </w:rPr>
  </w:style>
  <w:style w:type="paragraph" w:styleId="Body1">
    <w:name w:val="Body 1"/>
    <w:next w:val="Body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effect w:val="none"/>
      <w:vertAlign w:val="baseline"/>
      <w:cs w:val="0"/>
      <w:em w:val="none"/>
      <w:lang w:bidi="ar-SA" w:eastAsia="es-ES" w:val="es-ES"/>
    </w:rPr>
  </w:style>
  <w:style w:type="paragraph" w:styleId="List0">
    <w:name w:val="List 0"/>
    <w:basedOn w:val="Normal"/>
    <w:next w:val="List0"/>
    <w:autoRedefine w:val="0"/>
    <w:hidden w:val="0"/>
    <w:qFormat w:val="0"/>
    <w:pPr>
      <w:numPr>
        <w:ilvl w:val="0"/>
        <w:numId w:val="1"/>
      </w:numPr>
      <w:suppressAutoHyphens w:val="1"/>
      <w:spacing w:line="1" w:lineRule="atLeast"/>
      <w:ind w:leftChars="-1" w:rightChars="0" w:firstLineChars="-1"/>
      <w:jc w:val="left"/>
      <w:textDirection w:val="btLr"/>
      <w:textAlignment w:val="top"/>
      <w:outlineLvl w:val="0"/>
    </w:pPr>
    <w:rPr>
      <w:w w:val="100"/>
      <w:position w:val="-1"/>
      <w:sz w:val="20"/>
      <w:effect w:val="none"/>
      <w:vertAlign w:val="baseline"/>
      <w:cs w:val="0"/>
      <w:em w:val="none"/>
      <w:lang w:bidi="ar-SA" w:eastAsia="und" w:val="und"/>
    </w:rPr>
  </w:style>
  <w:style w:type="character" w:styleId="hps">
    <w:name w:val="hps"/>
    <w:next w:val="hps"/>
    <w:autoRedefine w:val="0"/>
    <w:hidden w:val="0"/>
    <w:qFormat w:val="0"/>
    <w:rPr>
      <w:w w:val="100"/>
      <w:position w:val="-1"/>
      <w:effect w:val="none"/>
      <w:vertAlign w:val="baseline"/>
      <w:cs w:val="0"/>
      <w:em w:val="none"/>
      <w:lang/>
    </w:rPr>
  </w:style>
  <w:style w:type="character" w:styleId="atn">
    <w:name w:val="atn"/>
    <w:next w:val="atn"/>
    <w:autoRedefine w:val="0"/>
    <w:hidden w:val="0"/>
    <w:qFormat w:val="0"/>
    <w:rPr>
      <w:w w:val="100"/>
      <w:position w:val="-1"/>
      <w:effect w:val="none"/>
      <w:vertAlign w:val="baseline"/>
      <w:cs w:val="0"/>
      <w:em w:val="none"/>
      <w:lang/>
    </w:rPr>
  </w:style>
  <w:style w:type="paragraph" w:styleId="txt_11">
    <w:name w:val="txt_11"/>
    <w:basedOn w:val="Normal"/>
    <w:next w:val="txt_11"/>
    <w:autoRedefine w:val="0"/>
    <w:hidden w:val="0"/>
    <w:qFormat w:val="0"/>
    <w:pPr>
      <w:suppressAutoHyphens w:val="1"/>
      <w:spacing w:after="100" w:afterAutospacing="1" w:before="100" w:beforeAutospacing="1" w:line="1" w:lineRule="atLeast"/>
      <w:ind w:leftChars="-1" w:rightChars="0" w:firstLineChars="-1"/>
      <w:jc w:val="left"/>
      <w:textDirection w:val="btLr"/>
      <w:textAlignment w:val="top"/>
      <w:outlineLvl w:val="0"/>
    </w:pPr>
    <w:rPr>
      <w:w w:val="100"/>
      <w:position w:val="-1"/>
      <w:sz w:val="24"/>
      <w:szCs w:val="24"/>
      <w:effect w:val="none"/>
      <w:vertAlign w:val="baseline"/>
      <w:cs w:val="0"/>
      <w:em w:val="none"/>
      <w:lang w:bidi="ar-SA" w:eastAsia="es-ES" w:val="es-ES"/>
    </w:rPr>
  </w:style>
  <w:style w:type="paragraph" w:styleId="bodytext2">
    <w:name w:val="bodytext2"/>
    <w:basedOn w:val="Normal"/>
    <w:next w:val="bodytext2"/>
    <w:autoRedefine w:val="0"/>
    <w:hidden w:val="0"/>
    <w:qFormat w:val="0"/>
    <w:pPr>
      <w:suppressAutoHyphens w:val="1"/>
      <w:overflowPunct w:val="0"/>
      <w:autoSpaceDE w:val="0"/>
      <w:autoSpaceDN w:val="0"/>
      <w:spacing w:line="280" w:lineRule="atLeast"/>
      <w:ind w:leftChars="-1" w:rightChars="0" w:firstLineChars="-1"/>
      <w:jc w:val="both"/>
      <w:textDirection w:val="btLr"/>
      <w:textAlignment w:val="top"/>
      <w:outlineLvl w:val="0"/>
    </w:pPr>
    <w:rPr>
      <w:color w:val="ff0000"/>
      <w:w w:val="100"/>
      <w:position w:val="-1"/>
      <w:sz w:val="24"/>
      <w:szCs w:val="24"/>
      <w:effect w:val="none"/>
      <w:vertAlign w:val="baseline"/>
      <w:cs w:val="0"/>
      <w:em w:val="none"/>
      <w:lang w:bidi="ar-SA" w:eastAsia="es-ES" w:val="es-ES"/>
    </w:rPr>
  </w:style>
  <w:style w:type="character" w:styleId="TítuloCar">
    <w:name w:val="Título Car"/>
    <w:next w:val="TítuloCar"/>
    <w:autoRedefine w:val="0"/>
    <w:hidden w:val="0"/>
    <w:qFormat w:val="0"/>
    <w:rPr>
      <w:rFonts w:ascii="Batang" w:eastAsia="Batang" w:hAnsi="Batang"/>
      <w:b w:val="1"/>
      <w:bCs w:val="1"/>
      <w:w w:val="100"/>
      <w:position w:val="-1"/>
      <w:sz w:val="24"/>
      <w:u w:val="single"/>
      <w:effect w:val="none"/>
      <w:vertAlign w:val="baseline"/>
      <w:cs w:val="0"/>
      <w:em w:val="none"/>
      <w:lang w:eastAsia="es-ES"/>
    </w:rPr>
  </w:style>
  <w:style w:type="paragraph" w:styleId="cosnoticia">
    <w:name w:val="cosnoticia"/>
    <w:basedOn w:val="Normal"/>
    <w:next w:val="cosnoticia"/>
    <w:autoRedefine w:val="0"/>
    <w:hidden w:val="0"/>
    <w:qFormat w:val="0"/>
    <w:pPr>
      <w:suppressAutoHyphens w:val="1"/>
      <w:spacing w:line="1" w:lineRule="atLeast"/>
      <w:ind w:leftChars="-1" w:rightChars="0" w:firstLineChars="-1"/>
      <w:jc w:val="left"/>
      <w:textDirection w:val="btLr"/>
      <w:textAlignment w:val="top"/>
      <w:outlineLvl w:val="0"/>
    </w:pPr>
    <w:rPr>
      <w:w w:val="100"/>
      <w:position w:val="-1"/>
      <w:sz w:val="24"/>
      <w:szCs w:val="24"/>
      <w:effect w:val="none"/>
      <w:vertAlign w:val="baseline"/>
      <w:cs w:val="0"/>
      <w:em w:val="none"/>
      <w:lang w:bidi="ar-SA" w:eastAsia="es-ES" w:val="es-ES"/>
    </w:rPr>
  </w:style>
  <w:style w:type="paragraph" w:styleId="listparagraph">
    <w:name w:val="listparagraph"/>
    <w:basedOn w:val="Normal"/>
    <w:next w:val="listparagraph"/>
    <w:autoRedefine w:val="0"/>
    <w:hidden w:val="0"/>
    <w:qFormat w:val="0"/>
    <w:pPr>
      <w:suppressAutoHyphens w:val="1"/>
      <w:spacing w:before="120" w:line="276" w:lineRule="auto"/>
      <w:ind w:left="720" w:leftChars="-1" w:rightChars="0" w:firstLineChars="-1"/>
      <w:jc w:val="left"/>
      <w:textDirection w:val="btLr"/>
      <w:textAlignment w:val="top"/>
      <w:outlineLvl w:val="0"/>
    </w:pPr>
    <w:rPr>
      <w:rFonts w:ascii="Arial" w:cs="Arial" w:eastAsia="Calibri" w:hAnsi="Arial"/>
      <w:color w:val="000000"/>
      <w:w w:val="100"/>
      <w:position w:val="-1"/>
      <w:sz w:val="20"/>
      <w:effect w:val="none"/>
      <w:vertAlign w:val="baseline"/>
      <w:cs w:val="0"/>
      <w:em w:val="none"/>
      <w:lang w:bidi="ar-SA" w:eastAsia="es-ES" w:val="es-E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jc w:val="left"/>
      <w:textDirection w:val="btLr"/>
      <w:textAlignment w:val="top"/>
      <w:outlineLvl w:val="0"/>
    </w:pPr>
    <w:rPr>
      <w:w w:val="100"/>
      <w:position w:val="-1"/>
      <w:sz w:val="24"/>
      <w:szCs w:val="24"/>
      <w:effect w:val="none"/>
      <w:vertAlign w:val="baseline"/>
      <w:cs w:val="0"/>
      <w:em w:val="none"/>
      <w:lang w:bidi="ar-SA" w:eastAsia="es-ES" w:val="es-ES"/>
    </w:rPr>
  </w:style>
  <w:style w:type="paragraph" w:styleId="Párrafodelista1">
    <w:name w:val="Párrafo de lista1"/>
    <w:basedOn w:val="Normal"/>
    <w:next w:val="Párrafodelista1"/>
    <w:autoRedefine w:val="0"/>
    <w:hidden w:val="0"/>
    <w:qFormat w:val="0"/>
    <w:pPr>
      <w:suppressAutoHyphens w:val="1"/>
      <w:spacing w:line="1" w:lineRule="atLeast"/>
      <w:ind w:left="720" w:leftChars="-1" w:rightChars="0" w:firstLineChars="-1"/>
      <w:jc w:val="left"/>
      <w:textDirection w:val="btLr"/>
      <w:textAlignment w:val="top"/>
      <w:outlineLvl w:val="0"/>
    </w:pPr>
    <w:rPr>
      <w:w w:val="100"/>
      <w:position w:val="-1"/>
      <w:sz w:val="20"/>
      <w:effect w:val="none"/>
      <w:vertAlign w:val="baseline"/>
      <w:cs w:val="0"/>
      <w:em w:val="none"/>
      <w:lang w:bidi="ar-SA" w:eastAsia="es-ES" w:val="es-ES"/>
    </w:rPr>
  </w:style>
  <w:style w:type="paragraph" w:styleId="txt_04">
    <w:name w:val="txt_04"/>
    <w:basedOn w:val="Normal"/>
    <w:next w:val="txt_04"/>
    <w:autoRedefine w:val="0"/>
    <w:hidden w:val="0"/>
    <w:qFormat w:val="0"/>
    <w:pPr>
      <w:suppressAutoHyphens w:val="1"/>
      <w:spacing w:after="100" w:afterAutospacing="1" w:before="100" w:beforeAutospacing="1" w:line="1" w:lineRule="atLeast"/>
      <w:ind w:leftChars="-1" w:rightChars="0" w:firstLineChars="-1"/>
      <w:jc w:val="left"/>
      <w:textDirection w:val="btLr"/>
      <w:textAlignment w:val="top"/>
      <w:outlineLvl w:val="0"/>
    </w:pPr>
    <w:rPr>
      <w:w w:val="100"/>
      <w:position w:val="-1"/>
      <w:sz w:val="24"/>
      <w:szCs w:val="24"/>
      <w:effect w:val="none"/>
      <w:vertAlign w:val="baseline"/>
      <w:cs w:val="0"/>
      <w:em w:val="none"/>
      <w:lang w:bidi="ar-SA" w:eastAsia="es-ES" w:val="es-ES"/>
    </w:rPr>
  </w:style>
  <w:style w:type="character" w:styleId="estilocorreo20">
    <w:name w:val="estilocorreo20"/>
    <w:next w:val="estilocorreo20"/>
    <w:autoRedefine w:val="0"/>
    <w:hidden w:val="0"/>
    <w:qFormat w:val="0"/>
    <w:rPr>
      <w:rFonts w:ascii="Arial" w:cs="Arial" w:hAnsi="Arial" w:hint="default"/>
      <w:color w:val="000080"/>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Narrow" w:cs="Arial Narrow" w:hAnsi="Arial Narrow"/>
      <w:color w:val="000000"/>
      <w:w w:val="100"/>
      <w:position w:val="-1"/>
      <w:sz w:val="24"/>
      <w:szCs w:val="24"/>
      <w:effect w:val="none"/>
      <w:vertAlign w:val="baseline"/>
      <w:cs w:val="0"/>
      <w:em w:val="none"/>
      <w:lang w:bidi="ar-SA" w:eastAsia="es-ES" w:val="es-ES"/>
    </w:rPr>
  </w:style>
  <w:style w:type="paragraph" w:styleId="Textoindependiente21">
    <w:name w:val="Texto independiente 21"/>
    <w:basedOn w:val="Normal"/>
    <w:next w:val="Textoindependiente21"/>
    <w:autoRedefine w:val="0"/>
    <w:hidden w:val="0"/>
    <w:qFormat w:val="0"/>
    <w:pPr>
      <w:suppressAutoHyphens w:val="0"/>
      <w:autoSpaceDE w:val="0"/>
      <w:spacing w:before="120" w:line="360" w:lineRule="auto"/>
      <w:ind w:leftChars="-1" w:rightChars="0" w:firstLineChars="-1"/>
      <w:jc w:val="left"/>
      <w:textDirection w:val="btLr"/>
      <w:textAlignment w:val="top"/>
      <w:outlineLvl w:val="0"/>
    </w:pPr>
    <w:rPr>
      <w:rFonts w:ascii="Century Gothic" w:cs="Arial" w:hAnsi="Century Gothic"/>
      <w:w w:val="100"/>
      <w:position w:val="-1"/>
      <w:sz w:val="22"/>
      <w:effect w:val="none"/>
      <w:vertAlign w:val="baseline"/>
      <w:cs w:val="0"/>
      <w:em w:val="none"/>
      <w:lang w:bidi="ar-SA" w:eastAsia="ar-SA"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theme" Target="theme/theme1.xml"/><Relationship Id="rId5" Type="http://schemas.openxmlformats.org/officeDocument/2006/relationships/numbering" Target="numbering.xml"/><Relationship Id="rId6" Type="http://schemas.openxmlformats.org/officeDocument/2006/relationships/styles" Target="styles.xml"/><Relationship Id="rId8" Type="http://schemas.openxmlformats.org/officeDocument/2006/relationships/footer" Target="footer1.xml"/><Relationship Id="rId7" Type="http://schemas.openxmlformats.org/officeDocument/2006/relationships/header" Target="header1.xml"/><Relationship Id="rId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